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4</w:t>
      </w:r>
    </w:p>
    <w:p>
      <w:pPr>
        <w:overflowPunct w:val="0"/>
        <w:spacing w:line="640" w:lineRule="exact"/>
        <w:ind w:left="-141"/>
        <w:jc w:val="center"/>
        <w:rPr>
          <w:rFonts w:cs="仿宋"/>
          <w:sz w:val="32"/>
          <w:szCs w:val="32"/>
        </w:rPr>
      </w:pPr>
      <w:bookmarkStart w:id="6" w:name="_GoBack"/>
      <w:r>
        <w:rPr>
          <w:rFonts w:hint="eastAsia" w:ascii="方正小标宋简体" w:eastAsia="方正小标宋简体"/>
          <w:sz w:val="36"/>
          <w:szCs w:val="36"/>
        </w:rPr>
        <w:t>第十二届全国品牌故事大赛分赛区（场）承办规则</w:t>
      </w:r>
      <w:bookmarkEnd w:id="6"/>
    </w:p>
    <w:p>
      <w:pPr>
        <w:overflowPunct w:val="0"/>
        <w:spacing w:before="156" w:beforeLines="5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为了体现全国品牌故事大赛的权威性、公正性，确保大赛在全国范围内顺利进行，根据指导单位的要求，主办方制定本规则。</w:t>
      </w:r>
    </w:p>
    <w:p>
      <w:pPr>
        <w:overflowPunct w:val="0"/>
        <w:spacing w:line="60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bookmarkStart w:id="0" w:name="_Toc16408"/>
      <w:bookmarkEnd w:id="0"/>
      <w:r>
        <w:rPr>
          <w:rFonts w:hint="eastAsia" w:ascii="黑体" w:hAnsi="黑体" w:eastAsia="黑体"/>
          <w:sz w:val="32"/>
          <w:szCs w:val="32"/>
        </w:rPr>
        <w:t>一、赛区品牌形象要求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（一）本届比赛设有城市分赛区和行业分赛场，比赛名称统一为“第十二届全国品牌故事大赛XX分赛区（场）”，其中XX分赛区（场）以比赛举办城市（行业）名称命名。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（二）分赛区（场）背板、Logo要按照主办方提供的模板制作，不得擅自更改。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（三）指导单位、承办单位按照主办方提供的单位名称宣传。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（四）分赛区（场）承办单位严格按照《分赛区（场）承办单位申请表》的单位名称宣传，不可随意增加或改动承办单位。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（五）依据《全国品牌故事大赛活动管理办法》相关规定，承办单位违反主办方要求的，取消申办资格，三年之内不得再次申请。</w:t>
      </w:r>
    </w:p>
    <w:p>
      <w:pPr>
        <w:overflowPunct w:val="0"/>
        <w:spacing w:line="60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bookmarkStart w:id="1" w:name="_Toc3641"/>
      <w:bookmarkEnd w:id="1"/>
      <w:r>
        <w:rPr>
          <w:rFonts w:hint="eastAsia" w:ascii="黑体" w:hAnsi="黑体" w:eastAsia="黑体"/>
          <w:sz w:val="32"/>
          <w:szCs w:val="32"/>
        </w:rPr>
        <w:t>二、组织规模的要求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（一）分赛区（场）承办单位要在各自赛区（场）至少征集10家不同参赛企业，方准许举办比赛。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（二）在同一个分赛区（场）、同一种类型的比赛中，同一家企业的参赛作品不得超过2个。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（三）城市分赛区同一类型的参赛作品中，由本地区（省）企业申报的比重不少于9</w:t>
      </w:r>
      <w:r>
        <w:rPr>
          <w:rFonts w:ascii="仿宋_GB2312" w:hAnsi="仿宋" w:eastAsia="仿宋_GB2312"/>
          <w:sz w:val="32"/>
          <w:szCs w:val="32"/>
        </w:rPr>
        <w:t>0%。</w:t>
      </w:r>
    </w:p>
    <w:p>
      <w:pPr>
        <w:overflowPunct w:val="0"/>
        <w:spacing w:line="66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三、比赛形式要求</w:t>
      </w:r>
    </w:p>
    <w:p>
      <w:pPr>
        <w:widowControl/>
        <w:numPr>
          <w:ilvl w:val="255"/>
          <w:numId w:val="0"/>
        </w:numPr>
        <w:overflowPunct w:val="0"/>
        <w:spacing w:line="6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分赛区（场）在承办过程中，可在遵守承办规则的前提下，根据本赛区（场）实际情况，自行组织赛前培训、比赛，保证比赛公平公正顺利完成。其中，演讲比赛必须由承</w:t>
      </w:r>
      <w:r>
        <w:rPr>
          <w:rFonts w:hint="eastAsia" w:ascii="仿宋_GB2312" w:hAnsi="仿宋" w:eastAsia="仿宋_GB2312"/>
          <w:spacing w:val="6"/>
          <w:sz w:val="32"/>
          <w:szCs w:val="32"/>
        </w:rPr>
        <w:t>办单位组织评审专家团队、参赛选手进行现场比赛和评审。征文、微电影、短视频比赛可采用</w:t>
      </w:r>
      <w:r>
        <w:rPr>
          <w:rFonts w:hint="eastAsia" w:ascii="仿宋_GB2312" w:hAnsi="仿宋" w:eastAsia="仿宋_GB2312"/>
          <w:sz w:val="32"/>
          <w:szCs w:val="32"/>
        </w:rPr>
        <w:t>线上线下结合的方式，由评审专家团队集中评审。</w:t>
      </w:r>
    </w:p>
    <w:p>
      <w:pPr>
        <w:overflowPunct w:val="0"/>
        <w:spacing w:line="60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四、评审要求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（一）分赛区（场）要本着公正、公平、公开的原则组织比赛，不得出现暗箱操作、内定选手名次等违规行为。演讲比赛，主持人提示“演讲正式开始”后即刻计时，每位选手演讲</w:t>
      </w:r>
      <w:r>
        <w:rPr>
          <w:rFonts w:ascii="仿宋_GB2312" w:hAnsi="仿宋" w:eastAsia="仿宋_GB2312"/>
          <w:sz w:val="32"/>
          <w:szCs w:val="32"/>
        </w:rPr>
        <w:t>结束</w:t>
      </w:r>
      <w:r>
        <w:rPr>
          <w:rFonts w:hint="eastAsia" w:ascii="仿宋_GB2312" w:hAnsi="仿宋" w:eastAsia="仿宋_GB2312"/>
          <w:sz w:val="32"/>
          <w:szCs w:val="32"/>
        </w:rPr>
        <w:t>有现场亮分的环节。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（二）评审标准要按照主办方给定的标准实施，做到全国各分赛区（场）的评价尺度一致。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（三）每个分赛区（场）自行组织专家评审，评委人数为奇数，不得少于5人，可以由政府、企业、高校和媒体等组织单位的资深专家担任。</w:t>
      </w:r>
    </w:p>
    <w:p>
      <w:pPr>
        <w:pStyle w:val="6"/>
        <w:overflowPunct w:val="0"/>
        <w:spacing w:line="600" w:lineRule="exact"/>
        <w:ind w:firstLine="640"/>
        <w:outlineLvl w:val="1"/>
        <w:rPr>
          <w:rFonts w:ascii="黑体" w:hAnsi="黑体" w:eastAsia="黑体"/>
          <w:sz w:val="32"/>
          <w:szCs w:val="32"/>
        </w:rPr>
      </w:pPr>
      <w:bookmarkStart w:id="2" w:name="_Toc21457"/>
      <w:bookmarkEnd w:id="2"/>
      <w:r>
        <w:rPr>
          <w:rFonts w:hint="eastAsia" w:ascii="黑体" w:hAnsi="黑体" w:eastAsia="黑体"/>
          <w:sz w:val="32"/>
          <w:szCs w:val="32"/>
        </w:rPr>
        <w:t>五、相关费用及商务活动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承办单位可招募该分赛区（场）协办单位，但不允许区域冠名。</w:t>
      </w:r>
    </w:p>
    <w:p>
      <w:pPr>
        <w:overflowPunct w:val="0"/>
        <w:spacing w:line="60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bookmarkStart w:id="3" w:name="_Toc17388"/>
      <w:bookmarkEnd w:id="3"/>
      <w:r>
        <w:rPr>
          <w:rFonts w:hint="eastAsia" w:ascii="黑体" w:hAnsi="黑体" w:eastAsia="黑体"/>
          <w:sz w:val="32"/>
          <w:szCs w:val="32"/>
        </w:rPr>
        <w:t>六、宣传要求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分赛区（场）承办单位负责动员当地媒体对比赛活动进行宣传，既要进行分赛区（场）的宣传，还要兼顾品牌故事大赛在全国的整体宣传。宣传要遵守主办方统一的形象要求，包括背景板、Logo、组织机构名称等。</w:t>
      </w:r>
      <w:bookmarkStart w:id="4" w:name="_Toc15334"/>
      <w:bookmarkEnd w:id="4"/>
    </w:p>
    <w:p>
      <w:pPr>
        <w:overflowPunct w:val="0"/>
        <w:spacing w:line="60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bookmarkStart w:id="5" w:name="_Toc19017"/>
      <w:bookmarkEnd w:id="5"/>
      <w:r>
        <w:rPr>
          <w:rFonts w:hint="eastAsia" w:ascii="黑体" w:hAnsi="黑体" w:eastAsia="黑体"/>
          <w:sz w:val="32"/>
          <w:szCs w:val="32"/>
        </w:rPr>
        <w:t>时间要求</w:t>
      </w:r>
    </w:p>
    <w:p>
      <w:pPr>
        <w:widowControl/>
        <w:numPr>
          <w:ilvl w:val="255"/>
          <w:numId w:val="0"/>
        </w:numPr>
        <w:overflowPunct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各分赛区（场）比赛需在主办方规定时限之前全部结束，以保证全国总决赛的顺利进行。</w:t>
      </w:r>
    </w:p>
    <w:p>
      <w:pPr>
        <w:overflowPunct w:val="0"/>
      </w:pP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7A693112"/>
    <w:rsid w:val="7A6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2024-01-26T02:42:00Z</dcterms:created>
  <dc:creator>WFY</dc:creator>
  <cp:lastModifiedBy>WFY</cp:lastModifiedBy>
  <dcterms:modified xsi:type="dcterms:W3CDTF">2024-01-26T02:43:01Z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42D2D1D8A11048239759CD7A532BC345_11</vt:lpwstr>
  </property>
</Properties>
</file>